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olor w:val="1A4A2A"/>
          <w:sz w:val="18"/>
          <w:szCs w:val="18"/>
        </w:rPr>
        <w:t xml:space="preserve">GROUNDED</w:t>
      </w:r>
      <w:r>
        <w:rPr>
          <w:rFonts w:ascii="Calibri" w:cs="Calibri" w:eastAsia="Calibri" w:hAnsi="Calibri"/>
          <w:b w:val="false"/>
          <w:bCs w:val="false"/>
          <w:i w:val="false"/>
          <w:iCs w:val="false"/>
          <w:color w:val="777777"/>
          <w:sz w:val="16"/>
          <w:szCs w:val="16"/>
        </w:rPr>
        <w:t xml:space="preserve">   ·   Practice Toolkit · Template v1.0</w:t>
      </w:r>
    </w:p>
    <w:p>
      <w:pPr>
        <w:pBdr>
          <w:bottom w:val="single" w:color="BBBBBB" w:sz="6"/>
        </w:pBdr>
        <w:spacing w:after="160"/>
      </w:pPr>
    </w:p>
    <w:p>
      <w:pPr>
        <w:spacing w:after="60" w:before="80"/>
      </w:pPr>
      <w:r>
        <w:rPr>
          <w:rFonts w:ascii="Calibri" w:cs="Calibri" w:eastAsia="Calibri" w:hAnsi="Calibri"/>
          <w:b/>
          <w:bCs/>
          <w:i w:val="false"/>
          <w:iCs w:val="false"/>
          <w:color w:val="1A1A1A"/>
          <w:sz w:val="40"/>
          <w:szCs w:val="40"/>
        </w:rPr>
        <w:t xml:space="preserve">Product Edition — Question Map</w:t>
      </w:r>
    </w:p>
    <w:p>
      <w:pPr>
        <w:spacing w:after="240"/>
      </w:pPr>
      <w:r>
        <w:rPr>
          <w:rFonts w:ascii="Calibri" w:cs="Calibri" w:eastAsia="Calibri" w:hAnsi="Calibri"/>
          <w:b w:val="false"/>
          <w:bCs w:val="false"/>
          <w:i/>
          <w:iCs/>
          <w:color w:val="444444"/>
          <w:sz w:val="20"/>
          <w:szCs w:val="20"/>
        </w:rPr>
        <w:t xml:space="preserve">Translating the thirty evidence questions for AI capabilities inside a product · same method, same gates, same verdict</w:t>
      </w:r>
    </w:p>
    <w:p>
      <w:pPr>
        <w:pStyle w:val="Heading1"/>
        <w:spacing w:after="160" w:before="240"/>
      </w:pPr>
      <w:r>
        <w:rPr>
          <w:rFonts w:ascii="Calibri" w:cs="Calibri" w:eastAsia="Calibri" w:hAnsi="Calibri"/>
          <w:b/>
          <w:bCs/>
          <w:i w:val="false"/>
          <w:iCs w:val="false"/>
          <w:color w:val="1A4A2A"/>
          <w:sz w:val="30"/>
          <w:szCs w:val="30"/>
        </w:rPr>
        <w:t xml:space="preserve">What changes, and what doesn't</w:t>
      </w:r>
    </w:p>
    <w:p>
      <w:pPr>
        <w:spacing w:after="120" w:before="0"/>
      </w:pPr>
      <w:r>
        <w:rPr>
          <w:rFonts w:ascii="Calibri" w:cs="Calibri" w:eastAsia="Calibri" w:hAnsi="Calibri"/>
          <w:b w:val="false"/>
          <w:bCs w:val="false"/>
          <w:i w:val="false"/>
          <w:iCs w:val="false"/>
          <w:color w:val="1A1A1A"/>
          <w:sz w:val="20"/>
          <w:szCs w:val="20"/>
        </w:rPr>
        <w:t xml:space="preserve">The Product Edition translates the language of the questions; it does not touch the method. The Evidence Rule, the three gates, private intake, fault lines, proximity weighting, the 60-point score, the verdict logic and the 90-day expiry are all unchanged — which is what keeps a Product Edition verdict comparable with a manufacturing or neutral one. Ten of the thirty questions are rewritten below; the remaining twenty carry over verbatim or with trivial substitutions (e.g. “organisation” → “product team”).</w:t>
      </w:r>
    </w:p>
    <w:p>
      <w:pPr>
        <w:spacing w:after="120" w:before="0"/>
      </w:pPr>
      <w:r>
        <w:rPr>
          <w:rFonts w:ascii="Calibri" w:cs="Calibri" w:eastAsia="Calibri" w:hAnsi="Calibri"/>
          <w:b w:val="false"/>
          <w:bCs w:val="false"/>
          <w:i/>
          <w:iCs/>
          <w:color w:val="444444"/>
          <w:sz w:val="20"/>
          <w:szCs w:val="20"/>
        </w:rPr>
        <w:t xml:space="preserve">Scope note: this edition assesses a specific candidate AI capability on a product's roadmap. For the earlier question — “is this product ready for AI enablement at all, and where should AI touch it?” — use the Grounded Scan · Product workbook first. The Scan finds where to look; only the full assessment tests whether what you found is ready to fund.</w:t>
      </w:r>
    </w:p>
    <w:p>
      <w:pPr>
        <w:pStyle w:val="Heading1"/>
        <w:spacing w:after="160" w:before="240"/>
      </w:pPr>
      <w:r>
        <w:rPr>
          <w:rFonts w:ascii="Calibri" w:cs="Calibri" w:eastAsia="Calibri" w:hAnsi="Calibri"/>
          <w:b/>
          <w:bCs/>
          <w:i w:val="false"/>
          <w:iCs w:val="false"/>
          <w:color w:val="1A4A2A"/>
          <w:sz w:val="30"/>
          <w:szCs w:val="30"/>
        </w:rPr>
        <w:t xml:space="preserve">Role map &amp; proximity weighting (Product Edition)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300"/>
        <w:gridCol w:w="3100"/>
        <w:gridCol w:w="3100"/>
      </w:tblGrid>
      <w:tr>
        <w:tc>
          <w:tcPr>
            <w:tcW w:type="dxa" w:w="33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Gate</w:t>
            </w:r>
          </w:p>
        </w:tc>
        <w:tc>
          <w:tcPr>
            <w:tcW w:type="dxa" w:w="31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Proximity role (double weight)</w:t>
            </w:r>
          </w:p>
        </w:tc>
        <w:tc>
          <w:tcPr>
            <w:tcW w:type="dxa" w:w="31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Neutral-edition equivalent</w:t>
            </w:r>
          </w:p>
        </w:tc>
      </w:tr>
      <w:tr>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Block 3 · Unit economics</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Finance / RevOps lead</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Finance</w:t>
            </w:r>
          </w:p>
        </w:tc>
      </w:tr>
      <w:tr>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Block 5 · Data &amp; context</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Data / platform engineering lead</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Technical lead</w:t>
            </w:r>
          </w:p>
        </w:tc>
      </w:tr>
      <w:tr>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Block 7 · Adoption &amp; change</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Customer Success or UX research lead</w:t>
            </w:r>
          </w:p>
        </w:tc>
        <w:tc>
          <w:tcPr>
            <w:tcW w:type="dxa" w:w="31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Frontline lead</w:t>
            </w:r>
          </w:p>
        </w:tc>
      </w:tr>
    </w:tbl>
    <w:p>
      <w:pPr>
        <w:spacing w:after="120" w:before="100"/>
      </w:pPr>
      <w:r>
        <w:rPr>
          <w:rFonts w:ascii="Calibri" w:cs="Calibri" w:eastAsia="Calibri" w:hAnsi="Calibri"/>
          <w:b w:val="false"/>
          <w:bCs w:val="false"/>
          <w:i w:val="false"/>
          <w:iCs w:val="false"/>
          <w:color w:val="1A1A1A"/>
          <w:sz w:val="20"/>
          <w:szCs w:val="20"/>
        </w:rPr>
        <w:t xml:space="preserve">Recommended intake roles (4–6): Product manager (sponsor) · Engineering lead · Data/platform lead · CS or UX research lead · Finance/RevOps · optionally Legal/compliance. The product owner sponsors the assessment; they must not be its only respondent — a solo run has no fault lines, and the fault lines are the point.</w:t>
      </w:r>
    </w:p>
    <w:p>
      <w:pPr>
        <w:pStyle w:val="Heading1"/>
        <w:spacing w:after="160" w:before="240"/>
      </w:pPr>
      <w:r>
        <w:rPr>
          <w:rFonts w:ascii="Calibri" w:cs="Calibri" w:eastAsia="Calibri" w:hAnsi="Calibri"/>
          <w:b/>
          <w:bCs/>
          <w:i w:val="false"/>
          <w:iCs w:val="false"/>
          <w:color w:val="1A4A2A"/>
          <w:sz w:val="30"/>
          <w:szCs w:val="30"/>
        </w:rPr>
        <w:t xml:space="preserve">The anchor question</w:t>
      </w:r>
    </w:p>
    <w:p>
      <w:pPr>
        <w:spacing w:after="120" w:before="0"/>
      </w:pPr>
      <w:r>
        <w:rPr>
          <w:rFonts w:ascii="Calibri" w:cs="Calibri" w:eastAsia="Calibri" w:hAnsi="Calibri"/>
          <w:b w:val="false"/>
          <w:bCs w:val="false"/>
          <w:i/>
          <w:iCs/>
          <w:color w:val="1A1A1A"/>
          <w:sz w:val="20"/>
          <w:szCs w:val="20"/>
        </w:rPr>
        <w:t xml:space="preserve">Q13, demonstrated live, never answered on a form: “Pull, right now — without an engineering ticket — the last 30 days of event data for the exact user workflow this AI will touch: timestamped, per user, per tenant, with no missing steps.” A Yes produced on screen is real; a Yes that needs a sprint is a Partially, and everyone has just learned why.</w:t>
      </w:r>
    </w:p>
    <w:p>
      <w:r>
        <w:br w:type="page"/>
      </w:r>
    </w:p>
    <w:p>
      <w:pPr>
        <w:pStyle w:val="Heading1"/>
        <w:spacing w:after="160" w:before="240"/>
      </w:pPr>
      <w:r>
        <w:rPr>
          <w:rFonts w:ascii="Calibri" w:cs="Calibri" w:eastAsia="Calibri" w:hAnsi="Calibri"/>
          <w:b/>
          <w:bCs/>
          <w:i w:val="false"/>
          <w:iCs w:val="false"/>
          <w:color w:val="1A4A2A"/>
          <w:sz w:val="30"/>
          <w:szCs w:val="30"/>
        </w:rPr>
        <w:t xml:space="preserve">The ten rewritten questions</w:t>
      </w:r>
    </w:p>
    <w:p>
      <w:pPr>
        <w:spacing w:after="40" w:before="200"/>
      </w:pPr>
      <w:r>
        <w:rPr>
          <w:rFonts w:ascii="Calibri" w:cs="Calibri" w:eastAsia="Calibri" w:hAnsi="Calibri"/>
          <w:b/>
          <w:bCs/>
          <w:i w:val="false"/>
          <w:iCs w:val="false"/>
          <w:color w:val="1A4A2A"/>
          <w:sz w:val="24"/>
          <w:szCs w:val="24"/>
        </w:rPr>
        <w:t xml:space="preserve">Q1</w:t>
      </w:r>
      <w:r>
        <w:rPr>
          <w:rFonts w:ascii="Calibri" w:cs="Calibri" w:eastAsia="Calibri" w:hAnsi="Calibri"/>
          <w:b/>
          <w:bCs/>
          <w:i w:val="false"/>
          <w:iCs w:val="false"/>
          <w:color w:val="777777"/>
          <w:sz w:val="18"/>
          <w:szCs w:val="18"/>
        </w:rPr>
        <w:t xml:space="preserve">   ·   01 · Problem &amp; opportunity</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…a specific decision made more than 50 times per week inside your organisation, where the outcome varies by who makes it?</w:t>
      </w:r>
    </w:p>
    <w:p>
      <w:pPr>
        <w:spacing w:after="60" w:before="0"/>
      </w:pPr>
      <w:r>
        <w:rPr>
          <w:rFonts w:ascii="Calibri" w:cs="Calibri" w:eastAsia="Calibri" w:hAnsi="Calibri"/>
          <w:b/>
          <w:bCs/>
          <w:i w:val="false"/>
          <w:iCs w:val="false"/>
          <w:color w:val="1A1A1A"/>
          <w:sz w:val="20"/>
          <w:szCs w:val="20"/>
        </w:rPr>
        <w:t xml:space="preserve">Product Edition:  Can you name a specific decision or task that users perform inside the product more than 50 times per week across your user base — one where the outcome or quality varies depending on which user performs it?</w:t>
      </w:r>
    </w:p>
    <w:p>
      <w:pPr>
        <w:spacing w:after="160" w:before="0"/>
      </w:pPr>
      <w:r>
        <w:rPr>
          <w:rFonts w:ascii="Calibri" w:cs="Calibri" w:eastAsia="Calibri" w:hAnsi="Calibri"/>
          <w:b w:val="false"/>
          <w:bCs w:val="false"/>
          <w:i w:val="false"/>
          <w:iCs w:val="false"/>
          <w:color w:val="444444"/>
          <w:sz w:val="20"/>
          <w:szCs w:val="20"/>
        </w:rPr>
        <w:t xml:space="preserve">Why:  The unit of analysis moves from an internal business decision to an in-product user workflow. Volume and variance tests are unchanged.</w:t>
      </w:r>
    </w:p>
    <w:p>
      <w:pPr>
        <w:spacing w:after="40" w:before="200"/>
      </w:pPr>
      <w:r>
        <w:rPr>
          <w:rFonts w:ascii="Calibri" w:cs="Calibri" w:eastAsia="Calibri" w:hAnsi="Calibri"/>
          <w:b/>
          <w:bCs/>
          <w:i w:val="false"/>
          <w:iCs w:val="false"/>
          <w:color w:val="1A4A2A"/>
          <w:sz w:val="24"/>
          <w:szCs w:val="24"/>
        </w:rPr>
        <w:t xml:space="preserve">Q3</w:t>
      </w:r>
      <w:r>
        <w:rPr>
          <w:rFonts w:ascii="Calibri" w:cs="Calibri" w:eastAsia="Calibri" w:hAnsi="Calibri"/>
          <w:b/>
          <w:bCs/>
          <w:i w:val="false"/>
          <w:iCs w:val="false"/>
          <w:color w:val="777777"/>
          <w:sz w:val="18"/>
          <w:szCs w:val="18"/>
        </w:rPr>
        <w:t xml:space="preserve">   ·   01 · Problem &amp; opportunity</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…documented what a human currently does to make this decision — steps, inputs, time, error rate — in writing?</w:t>
      </w:r>
    </w:p>
    <w:p>
      <w:pPr>
        <w:spacing w:after="60" w:before="0"/>
      </w:pPr>
      <w:r>
        <w:rPr>
          <w:rFonts w:ascii="Calibri" w:cs="Calibri" w:eastAsia="Calibri" w:hAnsi="Calibri"/>
          <w:b/>
          <w:bCs/>
          <w:i w:val="false"/>
          <w:iCs w:val="false"/>
          <w:color w:val="1A1A1A"/>
          <w:sz w:val="20"/>
          <w:szCs w:val="20"/>
        </w:rPr>
        <w:t xml:space="preserve">Product Edition:  Has anyone documented what users currently do to complete this task — the steps, the inputs, the time taken, where they abandon or get it wrong — in writing (journey map, session-recording analysis, support tickets), not from memory?</w:t>
      </w:r>
    </w:p>
    <w:p>
      <w:pPr>
        <w:spacing w:after="160" w:before="0"/>
      </w:pPr>
      <w:r>
        <w:rPr>
          <w:rFonts w:ascii="Calibri" w:cs="Calibri" w:eastAsia="Calibri" w:hAnsi="Calibri"/>
          <w:b w:val="false"/>
          <w:bCs w:val="false"/>
          <w:i w:val="false"/>
          <w:iCs w:val="false"/>
          <w:color w:val="444444"/>
          <w:sz w:val="20"/>
          <w:szCs w:val="20"/>
        </w:rPr>
        <w:t xml:space="preserve">Why:  The artifact changes: from an internal SOP to journey maps, funnel analytics, and support evidence. Abandonment replaces error rate.</w:t>
      </w:r>
    </w:p>
    <w:p>
      <w:pPr>
        <w:spacing w:after="40" w:before="200"/>
      </w:pPr>
      <w:r>
        <w:rPr>
          <w:rFonts w:ascii="Calibri" w:cs="Calibri" w:eastAsia="Calibri" w:hAnsi="Calibri"/>
          <w:b/>
          <w:bCs/>
          <w:i w:val="false"/>
          <w:iCs w:val="false"/>
          <w:color w:val="1A4A2A"/>
          <w:sz w:val="24"/>
          <w:szCs w:val="24"/>
        </w:rPr>
        <w:t xml:space="preserve">Q5</w:t>
      </w:r>
      <w:r>
        <w:rPr>
          <w:rFonts w:ascii="Calibri" w:cs="Calibri" w:eastAsia="Calibri" w:hAnsi="Calibri"/>
          <w:b/>
          <w:bCs/>
          <w:i w:val="false"/>
          <w:iCs w:val="false"/>
          <w:color w:val="777777"/>
          <w:sz w:val="18"/>
          <w:szCs w:val="18"/>
        </w:rPr>
        <w:t xml:space="preserve">   ·   02 · Value proposition</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…spoken to the people who will use this output in the last 90 days, and documented what they said they need?</w:t>
      </w:r>
    </w:p>
    <w:p>
      <w:pPr>
        <w:spacing w:after="60" w:before="0"/>
      </w:pPr>
      <w:r>
        <w:rPr>
          <w:rFonts w:ascii="Calibri" w:cs="Calibri" w:eastAsia="Calibri" w:hAnsi="Calibri"/>
          <w:b/>
          <w:bCs/>
          <w:i w:val="false"/>
          <w:iCs w:val="false"/>
          <w:color w:val="1A1A1A"/>
          <w:sz w:val="20"/>
          <w:szCs w:val="20"/>
        </w:rPr>
        <w:t xml:space="preserve">Product Edition:  Has anyone on the team spoken to users of this workflow — including at least one churned or struggling account — in the last 90 days, and documented what they said they actually need?</w:t>
      </w:r>
    </w:p>
    <w:p>
      <w:pPr>
        <w:spacing w:after="160" w:before="0"/>
      </w:pPr>
      <w:r>
        <w:rPr>
          <w:rFonts w:ascii="Calibri" w:cs="Calibri" w:eastAsia="Calibri" w:hAnsi="Calibri"/>
          <w:b w:val="false"/>
          <w:bCs w:val="false"/>
          <w:i w:val="false"/>
          <w:iCs w:val="false"/>
          <w:color w:val="444444"/>
          <w:sz w:val="20"/>
          <w:szCs w:val="20"/>
        </w:rPr>
        <w:t xml:space="preserve">Why:  Product research has a survivor-bias problem internal projects don't; the churned-account requirement closes it.</w:t>
      </w:r>
    </w:p>
    <w:p>
      <w:pPr>
        <w:spacing w:after="40" w:before="200"/>
      </w:pPr>
      <w:r>
        <w:rPr>
          <w:rFonts w:ascii="Calibri" w:cs="Calibri" w:eastAsia="Calibri" w:hAnsi="Calibri"/>
          <w:b/>
          <w:bCs/>
          <w:i w:val="false"/>
          <w:iCs w:val="false"/>
          <w:color w:val="1A4A2A"/>
          <w:sz w:val="24"/>
          <w:szCs w:val="24"/>
        </w:rPr>
        <w:t xml:space="preserve">Q7</w:t>
      </w:r>
      <w:r>
        <w:rPr>
          <w:rFonts w:ascii="Calibri" w:cs="Calibri" w:eastAsia="Calibri" w:hAnsi="Calibri"/>
          <w:b/>
          <w:bCs/>
          <w:i w:val="false"/>
          <w:iCs w:val="false"/>
          <w:color w:val="7A2E1D"/>
          <w:sz w:val="18"/>
          <w:szCs w:val="18"/>
        </w:rPr>
        <w:t xml:space="preserve">   ·   03 · Value capture &amp; unit economics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…a model showing cost per inference, inferences per month, and the revenue or saving attributed to each?</w:t>
      </w:r>
    </w:p>
    <w:p>
      <w:pPr>
        <w:spacing w:after="60" w:before="0"/>
      </w:pPr>
      <w:r>
        <w:rPr>
          <w:rFonts w:ascii="Calibri" w:cs="Calibri" w:eastAsia="Calibri" w:hAnsi="Calibri"/>
          <w:b/>
          <w:bCs/>
          <w:i w:val="false"/>
          <w:iCs w:val="false"/>
          <w:color w:val="1A1A1A"/>
          <w:sz w:val="20"/>
          <w:szCs w:val="20"/>
        </w:rPr>
        <w:t xml:space="preserve">Product Edition:  Has someone built a model — even a simple spreadsheet — that shows the cost per inference, the expected inferences per user per month at target adoption, and how the capability is packaged and priced (included, upsell, add-on) so that each inference maps to revenue or retained revenue?</w:t>
      </w:r>
    </w:p>
    <w:p>
      <w:pPr>
        <w:spacing w:after="160" w:before="0"/>
      </w:pPr>
      <w:r>
        <w:rPr>
          <w:rFonts w:ascii="Calibri" w:cs="Calibri" w:eastAsia="Calibri" w:hAnsi="Calibri"/>
          <w:b w:val="false"/>
          <w:bCs w:val="false"/>
          <w:i w:val="false"/>
          <w:iCs w:val="false"/>
          <w:color w:val="444444"/>
          <w:sz w:val="20"/>
          <w:szCs w:val="20"/>
        </w:rPr>
        <w:t xml:space="preserve">Why:  Adds the packaging decision. For a product, inference cost without a pricing decision is half a unit-economics model. Willingness to pay enters the gate here.</w:t>
      </w:r>
    </w:p>
    <w:p>
      <w:pPr>
        <w:spacing w:after="40" w:before="200"/>
      </w:pPr>
      <w:r>
        <w:rPr>
          <w:rFonts w:ascii="Calibri" w:cs="Calibri" w:eastAsia="Calibri" w:hAnsi="Calibri"/>
          <w:b/>
          <w:bCs/>
          <w:i w:val="false"/>
          <w:iCs w:val="false"/>
          <w:color w:val="1A4A2A"/>
          <w:sz w:val="24"/>
          <w:szCs w:val="24"/>
        </w:rPr>
        <w:t xml:space="preserve">Q13</w:t>
      </w:r>
      <w:r>
        <w:rPr>
          <w:rFonts w:ascii="Calibri" w:cs="Calibri" w:eastAsia="Calibri" w:hAnsi="Calibri"/>
          <w:b/>
          <w:bCs/>
          <w:i w:val="false"/>
          <w:iCs w:val="false"/>
          <w:color w:val="7A2E1D"/>
          <w:sz w:val="18"/>
          <w:szCs w:val="18"/>
        </w:rPr>
        <w:t xml:space="preserve">   ·   05 · Data &amp; context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…pull a report right now showing the last 30 days of the data this model will rely on — timestamps, source, no missing values?</w:t>
      </w:r>
    </w:p>
    <w:p>
      <w:pPr>
        <w:spacing w:after="60" w:before="0"/>
      </w:pPr>
      <w:r>
        <w:rPr>
          <w:rFonts w:ascii="Calibri" w:cs="Calibri" w:eastAsia="Calibri" w:hAnsi="Calibri"/>
          <w:b/>
          <w:bCs/>
          <w:i w:val="false"/>
          <w:iCs w:val="false"/>
          <w:color w:val="1A1A1A"/>
          <w:sz w:val="20"/>
          <w:szCs w:val="20"/>
        </w:rPr>
        <w:t xml:space="preserve">Product Edition:  Can you pull, right now — without an engineering ticket — the last 30 days of event data for the exact user workflow this AI will touch: timestamped, per user, per tenant, with no missing steps?</w:t>
      </w:r>
    </w:p>
    <w:p>
      <w:pPr>
        <w:spacing w:after="160" w:before="0"/>
      </w:pPr>
      <w:r>
        <w:rPr>
          <w:rFonts w:ascii="Calibri" w:cs="Calibri" w:eastAsia="Calibri" w:hAnsi="Calibri"/>
          <w:b w:val="false"/>
          <w:bCs w:val="false"/>
          <w:i w:val="false"/>
          <w:iCs w:val="false"/>
          <w:color w:val="444444"/>
          <w:sz w:val="20"/>
          <w:szCs w:val="20"/>
        </w:rPr>
        <w:t xml:space="preserve">Why:  THE ANCHOR QUESTION for the Product Edition — never answered on a form, always demonstrated live on screen. Per-user and per-tenant granularity is what separates product telemetry from a vanity dashboard.</w:t>
      </w:r>
    </w:p>
    <w:p>
      <w:pPr>
        <w:spacing w:after="40" w:before="200"/>
      </w:pPr>
      <w:r>
        <w:rPr>
          <w:rFonts w:ascii="Calibri" w:cs="Calibri" w:eastAsia="Calibri" w:hAnsi="Calibri"/>
          <w:b/>
          <w:bCs/>
          <w:i w:val="false"/>
          <w:iCs w:val="false"/>
          <w:color w:val="1A4A2A"/>
          <w:sz w:val="24"/>
          <w:szCs w:val="24"/>
        </w:rPr>
        <w:t xml:space="preserve">Q15</w:t>
      </w:r>
      <w:r>
        <w:rPr>
          <w:rFonts w:ascii="Calibri" w:cs="Calibri" w:eastAsia="Calibri" w:hAnsi="Calibri"/>
          <w:b/>
          <w:bCs/>
          <w:i w:val="false"/>
          <w:iCs w:val="false"/>
          <w:color w:val="7A2E1D"/>
          <w:sz w:val="18"/>
          <w:szCs w:val="18"/>
        </w:rPr>
        <w:t xml:space="preserve">   ·   05 · Data &amp; context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…has this data ever been used to make a consequential business decision that turned out correct? Name it and the date.</w:t>
      </w:r>
    </w:p>
    <w:p>
      <w:pPr>
        <w:spacing w:after="60" w:before="0"/>
      </w:pPr>
      <w:r>
        <w:rPr>
          <w:rFonts w:ascii="Calibri" w:cs="Calibri" w:eastAsia="Calibri" w:hAnsi="Calibri"/>
          <w:b/>
          <w:bCs/>
          <w:i w:val="false"/>
          <w:iCs w:val="false"/>
          <w:color w:val="1A1A1A"/>
          <w:sz w:val="20"/>
          <w:szCs w:val="20"/>
        </w:rPr>
        <w:t xml:space="preserve">Product Edition:  Has this product's usage data ever been used to make a consequential product decision that turned out to be correct? Can you name the decision, the release, and the date?</w:t>
      </w:r>
    </w:p>
    <w:p>
      <w:pPr>
        <w:spacing w:after="160" w:before="0"/>
      </w:pPr>
      <w:r>
        <w:rPr>
          <w:rFonts w:ascii="Calibri" w:cs="Calibri" w:eastAsia="Calibri" w:hAnsi="Calibri"/>
          <w:b w:val="false"/>
          <w:bCs w:val="false"/>
          <w:i w:val="false"/>
          <w:iCs w:val="false"/>
          <w:color w:val="444444"/>
          <w:sz w:val="20"/>
          <w:szCs w:val="20"/>
        </w:rPr>
        <w:t xml:space="preserve">Why:  Same logic, product artifact: a release decision traceable to the data proves the data is decision-grade.</w:t>
      </w:r>
    </w:p>
    <w:p>
      <w:pPr>
        <w:spacing w:after="40" w:before="200"/>
      </w:pPr>
      <w:r>
        <w:rPr>
          <w:rFonts w:ascii="Calibri" w:cs="Calibri" w:eastAsia="Calibri" w:hAnsi="Calibri"/>
          <w:b/>
          <w:bCs/>
          <w:i w:val="false"/>
          <w:iCs w:val="false"/>
          <w:color w:val="1A4A2A"/>
          <w:sz w:val="24"/>
          <w:szCs w:val="24"/>
        </w:rPr>
        <w:t xml:space="preserve">Q19</w:t>
      </w:r>
      <w:r>
        <w:rPr>
          <w:rFonts w:ascii="Calibri" w:cs="Calibri" w:eastAsia="Calibri" w:hAnsi="Calibri"/>
          <w:b/>
          <w:bCs/>
          <w:i w:val="false"/>
          <w:iCs w:val="false"/>
          <w:color w:val="7A2E1D"/>
          <w:sz w:val="18"/>
          <w:szCs w:val="18"/>
        </w:rPr>
        <w:t xml:space="preserve">   ·   07 · Adoption &amp; change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…name the three job roles whose daily behaviour must change; confirm each was consulted in design?</w:t>
      </w:r>
    </w:p>
    <w:p>
      <w:pPr>
        <w:spacing w:after="60" w:before="0"/>
      </w:pPr>
      <w:r>
        <w:rPr>
          <w:rFonts w:ascii="Calibri" w:cs="Calibri" w:eastAsia="Calibri" w:hAnsi="Calibri"/>
          <w:b/>
          <w:bCs/>
          <w:i w:val="false"/>
          <w:iCs w:val="false"/>
          <w:color w:val="1A1A1A"/>
          <w:sz w:val="20"/>
          <w:szCs w:val="20"/>
        </w:rPr>
        <w:t xml:space="preserve">Product Edition:  Can you name the specific user segments whose daily workflow must change for this capability to deliver its projected return — and confirm that real users from each segment have been involved in the design (research sessions, prototype tests, or a beta cohort)?</w:t>
      </w:r>
    </w:p>
    <w:p>
      <w:pPr>
        <w:spacing w:after="160" w:before="0"/>
      </w:pPr>
      <w:r>
        <w:rPr>
          <w:rFonts w:ascii="Calibri" w:cs="Calibri" w:eastAsia="Calibri" w:hAnsi="Calibri"/>
          <w:b w:val="false"/>
          <w:bCs w:val="false"/>
          <w:i w:val="false"/>
          <w:iCs w:val="false"/>
          <w:color w:val="444444"/>
          <w:sz w:val="20"/>
          <w:szCs w:val="20"/>
        </w:rPr>
        <w:t xml:space="preserve">Why:  The deepest rewrite. The adoption gate shifts from internal job roles to external user segments; consultation evidence becomes research artifacts and beta cohorts.</w:t>
      </w:r>
    </w:p>
    <w:p>
      <w:pPr>
        <w:spacing w:after="40" w:before="200"/>
      </w:pPr>
      <w:r>
        <w:rPr>
          <w:rFonts w:ascii="Calibri" w:cs="Calibri" w:eastAsia="Calibri" w:hAnsi="Calibri"/>
          <w:b/>
          <w:bCs/>
          <w:i w:val="false"/>
          <w:iCs w:val="false"/>
          <w:color w:val="1A4A2A"/>
          <w:sz w:val="24"/>
          <w:szCs w:val="24"/>
        </w:rPr>
        <w:t xml:space="preserve">Q20</w:t>
      </w:r>
      <w:r>
        <w:rPr>
          <w:rFonts w:ascii="Calibri" w:cs="Calibri" w:eastAsia="Calibri" w:hAnsi="Calibri"/>
          <w:b/>
          <w:bCs/>
          <w:i w:val="false"/>
          <w:iCs w:val="false"/>
          <w:color w:val="7A2E1D"/>
          <w:sz w:val="18"/>
          <w:szCs w:val="18"/>
        </w:rPr>
        <w:t xml:space="preserve">   ·   07 · Adoption &amp; change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…a documented plan — owner, timeline, budget — for people who resist or struggle to adopt? Not training slides.</w:t>
      </w:r>
    </w:p>
    <w:p>
      <w:pPr>
        <w:spacing w:after="60" w:before="0"/>
      </w:pPr>
      <w:r>
        <w:rPr>
          <w:rFonts w:ascii="Calibri" w:cs="Calibri" w:eastAsia="Calibri" w:hAnsi="Calibri"/>
          <w:b/>
          <w:bCs/>
          <w:i w:val="false"/>
          <w:iCs w:val="false"/>
          <w:color w:val="1A1A1A"/>
          <w:sz w:val="20"/>
          <w:szCs w:val="20"/>
        </w:rPr>
        <w:t xml:space="preserve">Product Edition:  Is there a documented plan — with owner, timeline, and budget — for users who don't adopt or don't trust the AI: in-product onboarding, a customer-success playbook, and a working non-AI fallback path? Not a launch email. An actual plan.</w:t>
      </w:r>
    </w:p>
    <w:p>
      <w:pPr>
        <w:spacing w:after="160" w:before="0"/>
      </w:pPr>
      <w:r>
        <w:rPr>
          <w:rFonts w:ascii="Calibri" w:cs="Calibri" w:eastAsia="Calibri" w:hAnsi="Calibri"/>
          <w:b w:val="false"/>
          <w:bCs w:val="false"/>
          <w:i w:val="false"/>
          <w:iCs w:val="false"/>
          <w:color w:val="444444"/>
          <w:sz w:val="20"/>
          <w:szCs w:val="20"/>
        </w:rPr>
        <w:t xml:space="preserve">Why:  Resistance for a product means silent non-adoption and churn, not office politics. The non-AI fallback path is the product equivalent of supporting strugglers.</w:t>
      </w:r>
    </w:p>
    <w:p>
      <w:pPr>
        <w:spacing w:after="40" w:before="200"/>
      </w:pPr>
      <w:r>
        <w:rPr>
          <w:rFonts w:ascii="Calibri" w:cs="Calibri" w:eastAsia="Calibri" w:hAnsi="Calibri"/>
          <w:b/>
          <w:bCs/>
          <w:i w:val="false"/>
          <w:iCs w:val="false"/>
          <w:color w:val="1A4A2A"/>
          <w:sz w:val="24"/>
          <w:szCs w:val="24"/>
        </w:rPr>
        <w:t xml:space="preserve">Q21</w:t>
      </w:r>
      <w:r>
        <w:rPr>
          <w:rFonts w:ascii="Calibri" w:cs="Calibri" w:eastAsia="Calibri" w:hAnsi="Calibri"/>
          <w:b/>
          <w:bCs/>
          <w:i w:val="false"/>
          <w:iCs w:val="false"/>
          <w:color w:val="7A2E1D"/>
          <w:sz w:val="18"/>
          <w:szCs w:val="18"/>
        </w:rPr>
        <w:t xml:space="preserve">   ·   07 · Adoption &amp; change — GATE</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…successfully adopted a technology change of comparable scale in the last three years? Point to it.</w:t>
      </w:r>
    </w:p>
    <w:p>
      <w:pPr>
        <w:spacing w:after="60" w:before="0"/>
      </w:pPr>
      <w:r>
        <w:rPr>
          <w:rFonts w:ascii="Calibri" w:cs="Calibri" w:eastAsia="Calibri" w:hAnsi="Calibri"/>
          <w:b/>
          <w:bCs/>
          <w:i w:val="false"/>
          <w:iCs w:val="false"/>
          <w:color w:val="1A1A1A"/>
          <w:sz w:val="20"/>
          <w:szCs w:val="20"/>
        </w:rPr>
        <w:t xml:space="preserve">Product Edition:  Has this product shipped a behaviour-changing feature of comparable scale in the last three years that reached its target adoption? Can you name the feature and its adoption number?</w:t>
      </w:r>
    </w:p>
    <w:p>
      <w:pPr>
        <w:spacing w:after="160" w:before="0"/>
      </w:pPr>
      <w:r>
        <w:rPr>
          <w:rFonts w:ascii="Calibri" w:cs="Calibri" w:eastAsia="Calibri" w:hAnsi="Calibri"/>
          <w:b w:val="false"/>
          <w:bCs w:val="false"/>
          <w:i w:val="false"/>
          <w:iCs w:val="false"/>
          <w:color w:val="444444"/>
          <w:sz w:val="20"/>
          <w:szCs w:val="20"/>
        </w:rPr>
        <w:t xml:space="preserve">Why:  Change readiness becomes shipping readiness. A named feature with a named adoption number is the artifact.</w:t>
      </w:r>
    </w:p>
    <w:p>
      <w:pPr>
        <w:spacing w:after="40" w:before="200"/>
      </w:pPr>
      <w:r>
        <w:rPr>
          <w:rFonts w:ascii="Calibri" w:cs="Calibri" w:eastAsia="Calibri" w:hAnsi="Calibri"/>
          <w:b/>
          <w:bCs/>
          <w:i w:val="false"/>
          <w:iCs w:val="false"/>
          <w:color w:val="1A4A2A"/>
          <w:sz w:val="24"/>
          <w:szCs w:val="24"/>
        </w:rPr>
        <w:t xml:space="preserve">Q23</w:t>
      </w:r>
      <w:r>
        <w:rPr>
          <w:rFonts w:ascii="Calibri" w:cs="Calibri" w:eastAsia="Calibri" w:hAnsi="Calibri"/>
          <w:b/>
          <w:bCs/>
          <w:i w:val="false"/>
          <w:iCs w:val="false"/>
          <w:color w:val="777777"/>
          <w:sz w:val="18"/>
          <w:szCs w:val="18"/>
        </w:rPr>
        <w:t xml:space="preserve">   ·   08 · Governance &amp; risk</w:t>
      </w:r>
    </w:p>
    <w:p>
      <w:pPr>
        <w:pBdr>
          <w:bottom w:val="single" w:color="BBBBBB" w:sz="6"/>
        </w:pBdr>
        <w:spacing w:after="160"/>
      </w:pPr>
    </w:p>
    <w:p>
      <w:pPr>
        <w:spacing w:after="60" w:before="0"/>
      </w:pPr>
      <w:r>
        <w:rPr>
          <w:rFonts w:ascii="Calibri" w:cs="Calibri" w:eastAsia="Calibri" w:hAnsi="Calibri"/>
          <w:b w:val="false"/>
          <w:bCs w:val="false"/>
          <w:i/>
          <w:iCs/>
          <w:color w:val="777777"/>
          <w:sz w:val="20"/>
          <w:szCs w:val="20"/>
        </w:rPr>
        <w:t xml:space="preserve">Neutral edition:  …legal or compliance reviewed this use case against current and anticipated regulation, with a written opinion in the last 12 months?</w:t>
      </w:r>
    </w:p>
    <w:p>
      <w:pPr>
        <w:spacing w:after="60" w:before="0"/>
      </w:pPr>
      <w:r>
        <w:rPr>
          <w:rFonts w:ascii="Calibri" w:cs="Calibri" w:eastAsia="Calibri" w:hAnsi="Calibri"/>
          <w:b/>
          <w:bCs/>
          <w:i w:val="false"/>
          <w:iCs w:val="false"/>
          <w:color w:val="1A1A1A"/>
          <w:sz w:val="20"/>
          <w:szCs w:val="20"/>
        </w:rPr>
        <w:t xml:space="preserve">Product Edition:  Has legal or compliance reviewed this use case — including the contractual right to use customer data, per tenant, for this AI capability (DPAs, training and retention clauses) — against current and anticipated regulation in every jurisdiction where the product operates, with a written opinion in the last 12 months?</w:t>
      </w:r>
    </w:p>
    <w:p>
      <w:pPr>
        <w:spacing w:after="160" w:before="0"/>
      </w:pPr>
      <w:r>
        <w:rPr>
          <w:rFonts w:ascii="Calibri" w:cs="Calibri" w:eastAsia="Calibri" w:hAnsi="Calibri"/>
          <w:b w:val="false"/>
          <w:bCs w:val="false"/>
          <w:i w:val="false"/>
          <w:iCs w:val="false"/>
          <w:color w:val="444444"/>
          <w:sz w:val="20"/>
          <w:szCs w:val="20"/>
        </w:rPr>
        <w:t xml:space="preserve">Why:  Closes the genuine gap in the neutral edition: data rights. For a multi-tenant product, whether customer data may be used at all is a foundation question, folded here to keep the 30-question, 60-point architecture intact and results comparable across editions.</w:t>
      </w:r>
    </w:p>
    <w:p>
      <w:pPr>
        <w:pStyle w:val="Heading1"/>
        <w:spacing w:after="160" w:before="240"/>
      </w:pPr>
      <w:r>
        <w:rPr>
          <w:rFonts w:ascii="Calibri" w:cs="Calibri" w:eastAsia="Calibri" w:hAnsi="Calibri"/>
          <w:b/>
          <w:bCs/>
          <w:i w:val="false"/>
          <w:iCs w:val="false"/>
          <w:color w:val="1A4A2A"/>
          <w:sz w:val="30"/>
          <w:szCs w:val="30"/>
        </w:rPr>
        <w:t xml:space="preserve">Unchanged questions</w:t>
      </w:r>
    </w:p>
    <w:p>
      <w:pPr>
        <w:spacing w:after="120" w:before="0"/>
      </w:pPr>
      <w:r>
        <w:rPr>
          <w:rFonts w:ascii="Calibri" w:cs="Calibri" w:eastAsia="Calibri" w:hAnsi="Calibri"/>
          <w:b w:val="false"/>
          <w:bCs w:val="false"/>
          <w:i w:val="false"/>
          <w:iCs w:val="false"/>
          <w:color w:val="1A1A1A"/>
          <w:sz w:val="20"/>
          <w:szCs w:val="20"/>
        </w:rPr>
        <w:t xml:space="preserve">Q2, Q4, Q6 (value &amp; alternatives), Q8–Q12 (scale economics, finance sign-off, build/buy, model choice, fallback), Q14, Q16–Q18 (data ownership, moat, external review), Q22, Q24 (liability owner, worst plausible failure), Q25–Q30 (eval suite, monitoring, error thresholds, ops owner, migration plan, run budget) carry over as written — they were product-shaped already; the framework descends from the AI Product Canvas, and these questions never left home.</w:t>
      </w:r>
    </w:p>
    <w:p>
      <w:pPr>
        <w:pStyle w:val="Heading1"/>
        <w:spacing w:after="160" w:before="240"/>
      </w:pPr>
      <w:r>
        <w:rPr>
          <w:rFonts w:ascii="Calibri" w:cs="Calibri" w:eastAsia="Calibri" w:hAnsi="Calibri"/>
          <w:b/>
          <w:bCs/>
          <w:i w:val="false"/>
          <w:iCs w:val="false"/>
          <w:color w:val="1A4A2A"/>
          <w:sz w:val="30"/>
          <w:szCs w:val="30"/>
        </w:rPr>
        <w:t xml:space="preserve">Using this map</w:t>
      </w:r>
    </w:p>
    <w:p>
      <w:pPr>
        <w:pStyle w:val="ListParagraph"/>
        <w:numPr>
          <w:ilvl w:val="0"/>
          <w:numId w:val="2"/>
        </w:numPr>
        <w:spacing w:after="120" w:before="0"/>
      </w:pPr>
      <w:r>
        <w:rPr>
          <w:rFonts w:ascii="Calibri" w:cs="Calibri" w:eastAsia="Calibri" w:hAnsi="Calibri"/>
          <w:b w:val="false"/>
          <w:bCs w:val="false"/>
          <w:i w:val="false"/>
          <w:iCs w:val="false"/>
          <w:color w:val="1A1A1A"/>
          <w:sz w:val="20"/>
          <w:szCs w:val="20"/>
        </w:rPr>
        <w:t xml:space="preserve">Run intake with the Product Edition wording; transcribe into the standard Scoring &amp; Aggregation Workbook — no workbook changes needed.</w:t>
      </w:r>
    </w:p>
    <w:p>
      <w:pPr>
        <w:pStyle w:val="ListParagraph"/>
        <w:numPr>
          <w:ilvl w:val="0"/>
          <w:numId w:val="2"/>
        </w:numPr>
        <w:spacing w:after="120" w:before="0"/>
      </w:pPr>
      <w:r>
        <w:rPr>
          <w:rFonts w:ascii="Calibri" w:cs="Calibri" w:eastAsia="Calibri" w:hAnsi="Calibri"/>
          <w:b w:val="false"/>
          <w:bCs w:val="false"/>
          <w:i w:val="false"/>
          <w:iCs w:val="false"/>
          <w:color w:val="1A1A1A"/>
          <w:sz w:val="20"/>
          <w:szCs w:val="20"/>
        </w:rPr>
        <w:t xml:space="preserve">Set the SETUP proximity slots to the Product Edition roles above.</w:t>
      </w:r>
    </w:p>
    <w:p>
      <w:pPr>
        <w:pStyle w:val="ListParagraph"/>
        <w:numPr>
          <w:ilvl w:val="0"/>
          <w:numId w:val="2"/>
        </w:numPr>
        <w:spacing w:after="120" w:before="0"/>
      </w:pPr>
      <w:r>
        <w:rPr>
          <w:rFonts w:ascii="Calibri" w:cs="Calibri" w:eastAsia="Calibri" w:hAnsi="Calibri"/>
          <w:b w:val="false"/>
          <w:bCs w:val="false"/>
          <w:i w:val="false"/>
          <w:iCs w:val="false"/>
          <w:color w:val="1A1A1A"/>
          <w:sz w:val="20"/>
          <w:szCs w:val="20"/>
        </w:rPr>
        <w:t xml:space="preserve">Substitute Q13 as the live anchor demonstration in the Facilitation Guide.</w:t>
      </w:r>
    </w:p>
    <w:p>
      <w:pPr>
        <w:pStyle w:val="ListParagraph"/>
        <w:numPr>
          <w:ilvl w:val="0"/>
          <w:numId w:val="2"/>
        </w:numPr>
        <w:spacing w:after="120" w:before="0"/>
      </w:pPr>
      <w:r>
        <w:rPr>
          <w:rFonts w:ascii="Calibri" w:cs="Calibri" w:eastAsia="Calibri" w:hAnsi="Calibri"/>
          <w:b w:val="false"/>
          <w:bCs w:val="false"/>
          <w:i w:val="false"/>
          <w:iCs w:val="false"/>
          <w:color w:val="1A1A1A"/>
          <w:sz w:val="20"/>
          <w:szCs w:val="20"/>
        </w:rPr>
        <w:t xml:space="preserve">Log any '?' on data rights (Q23) as senior debt — it blocks capital release like any gate gap.</w:t>
      </w:r>
    </w:p>
    <w:p>
      <w:pPr>
        <w:pBdr>
          <w:top w:val="single" w:color="BBBBBB" w:sz="6"/>
        </w:pBdr>
        <w:spacing w:before="300"/>
      </w:pPr>
      <w:r>
        <w:rPr>
          <w:rFonts w:ascii="Calibri" w:cs="Calibri" w:eastAsia="Calibri" w:hAnsi="Calibri"/>
          <w:b w:val="false"/>
          <w:bCs w:val="false"/>
          <w:i/>
          <w:iCs/>
          <w:color w:val="777777"/>
          <w:sz w:val="15"/>
          <w:szCs w:val="15"/>
        </w:rPr>
        <w:t xml:space="preserve">Grounded Framework · Product Edition v1.0 draft · publish alongside the neutral and manufacturing editions — the framework improves in public or it doesn't improve at all.</w:t>
      </w:r>
    </w:p>
    <w:sectPr>
      <w:pgSz w:w="11906" w:h="16838"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2026-07-11T08:36:26.435Z</dcterms:created>
  <dcterms:modified xsi:type="dcterms:W3CDTF">2026-07-11T08:36:26.445Z</dcterms:modified>
</cp:coreProperties>
</file>

<file path=docProps/custom.xml><?xml version="1.0" encoding="utf-8"?>
<Properties xmlns="http://schemas.openxmlformats.org/officeDocument/2006/custom-properties" xmlns:vt="http://schemas.openxmlformats.org/officeDocument/2006/docPropsVTypes"/>
</file>