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rFonts w:ascii="Calibri" w:cs="Calibri" w:eastAsia="Calibri" w:hAnsi="Calibri"/>
          <w:b/>
          <w:bCs/>
          <w:i w:val="false"/>
          <w:iCs w:val="false"/>
          <w:color w:val="1A4A2A"/>
          <w:sz w:val="18"/>
          <w:szCs w:val="18"/>
        </w:rPr>
        <w:t xml:space="preserve">GROUNDED</w:t>
      </w:r>
      <w:r>
        <w:rPr>
          <w:rFonts w:ascii="Calibri" w:cs="Calibri" w:eastAsia="Calibri" w:hAnsi="Calibri"/>
          <w:b w:val="false"/>
          <w:bCs w:val="false"/>
          <w:i w:val="false"/>
          <w:iCs w:val="false"/>
          <w:color w:val="777777"/>
          <w:sz w:val="16"/>
          <w:szCs w:val="16"/>
        </w:rPr>
        <w:t xml:space="preserve">   ·   Practice Toolkit · Template v1.0</w:t>
      </w:r>
    </w:p>
    <w:p>
      <w:pPr>
        <w:pBdr>
          <w:bottom w:val="single" w:color="BBBBBB" w:sz="6"/>
        </w:pBdr>
        <w:spacing w:after="160"/>
      </w:pPr>
    </w:p>
    <w:p>
      <w:pPr>
        <w:spacing w:after="60" w:before="80"/>
      </w:pPr>
      <w:r>
        <w:rPr>
          <w:rFonts w:ascii="Calibri" w:cs="Calibri" w:eastAsia="Calibri" w:hAnsi="Calibri"/>
          <w:b/>
          <w:bCs/>
          <w:i w:val="false"/>
          <w:iCs w:val="false"/>
          <w:color w:val="1A1A1A"/>
          <w:sz w:val="40"/>
          <w:szCs w:val="40"/>
        </w:rPr>
        <w:t xml:space="preserve">Grounded Assessment Report</w:t>
      </w:r>
    </w:p>
    <w:p>
      <w:pPr>
        <w:spacing w:after="240"/>
      </w:pPr>
      <w:r>
        <w:rPr>
          <w:rFonts w:ascii="Calibri" w:cs="Calibri" w:eastAsia="Calibri" w:hAnsi="Calibri"/>
          <w:b w:val="false"/>
          <w:bCs w:val="false"/>
          <w:i/>
          <w:iCs/>
          <w:color w:val="444444"/>
          <w:sz w:val="20"/>
          <w:szCs w:val="20"/>
        </w:rPr>
        <w:t xml:space="preserve">Verdict · fault lines · foundation debt · expiry — precision underneath, bluntness at the headline</w:t>
      </w:r>
    </w:p>
    <w:p>
      <w:pPr>
        <w:spacing w:after="140"/>
      </w:pPr>
      <w:r>
        <w:rPr>
          <w:rFonts w:ascii="Calibri" w:cs="Calibri" w:eastAsia="Calibri" w:hAnsi="Calibri"/>
          <w:b/>
          <w:bCs/>
          <w:i w:val="false"/>
          <w:iCs w:val="false"/>
          <w:color w:val="1A1A1A"/>
          <w:sz w:val="20"/>
          <w:szCs w:val="20"/>
        </w:rPr>
        <w:t xml:space="preserve">Client / organisation:  </w:t>
      </w:r>
      <w:r>
        <w:rPr>
          <w:rFonts w:ascii="Calibri" w:cs="Calibri" w:eastAsia="Calibri" w:hAnsi="Calibri"/>
          <w:b w:val="false"/>
          <w:bCs w:val="false"/>
          <w:i w:val="false"/>
          <w:iCs w:val="false"/>
          <w:color w:val="777777"/>
          <w:sz w:val="20"/>
          <w:szCs w:val="20"/>
        </w:rPr>
        <w:t xml:space="preserve">________________________________________</w:t>
      </w:r>
    </w:p>
    <w:p>
      <w:pPr>
        <w:spacing w:after="140"/>
      </w:pPr>
      <w:r>
        <w:rPr>
          <w:rFonts w:ascii="Calibri" w:cs="Calibri" w:eastAsia="Calibri" w:hAnsi="Calibri"/>
          <w:b/>
          <w:bCs/>
          <w:i w:val="false"/>
          <w:iCs w:val="false"/>
          <w:color w:val="1A1A1A"/>
          <w:sz w:val="20"/>
          <w:szCs w:val="20"/>
        </w:rPr>
        <w:t xml:space="preserve">Investment assessed:  </w:t>
      </w:r>
      <w:r>
        <w:rPr>
          <w:rFonts w:ascii="Calibri" w:cs="Calibri" w:eastAsia="Calibri" w:hAnsi="Calibri"/>
          <w:b w:val="false"/>
          <w:bCs w:val="false"/>
          <w:i w:val="false"/>
          <w:iCs w:val="false"/>
          <w:color w:val="777777"/>
          <w:sz w:val="20"/>
          <w:szCs w:val="20"/>
        </w:rPr>
        <w:t xml:space="preserve">________________________________________</w:t>
      </w:r>
    </w:p>
    <w:p>
      <w:pPr>
        <w:spacing w:after="140"/>
      </w:pPr>
      <w:r>
        <w:rPr>
          <w:rFonts w:ascii="Calibri" w:cs="Calibri" w:eastAsia="Calibri" w:hAnsi="Calibri"/>
          <w:b/>
          <w:bCs/>
          <w:i w:val="false"/>
          <w:iCs w:val="false"/>
          <w:color w:val="1A1A1A"/>
          <w:sz w:val="20"/>
          <w:szCs w:val="20"/>
        </w:rPr>
        <w:t xml:space="preserve">Edition:  </w:t>
      </w:r>
      <w:r>
        <w:rPr>
          <w:rFonts w:ascii="Calibri" w:cs="Calibri" w:eastAsia="Calibri" w:hAnsi="Calibri"/>
          <w:b w:val="false"/>
          <w:bCs w:val="false"/>
          <w:i w:val="false"/>
          <w:iCs w:val="false"/>
          <w:color w:val="777777"/>
          <w:sz w:val="20"/>
          <w:szCs w:val="20"/>
        </w:rPr>
        <w:t xml:space="preserve">________________________________________</w:t>
      </w:r>
    </w:p>
    <w:p>
      <w:pPr>
        <w:spacing w:after="140"/>
      </w:pPr>
      <w:r>
        <w:rPr>
          <w:rFonts w:ascii="Calibri" w:cs="Calibri" w:eastAsia="Calibri" w:hAnsi="Calibri"/>
          <w:b/>
          <w:bCs/>
          <w:i w:val="false"/>
          <w:iCs w:val="false"/>
          <w:color w:val="1A1A1A"/>
          <w:sz w:val="20"/>
          <w:szCs w:val="20"/>
        </w:rPr>
        <w:t xml:space="preserve">Facilitator:  </w:t>
      </w:r>
      <w:r>
        <w:rPr>
          <w:rFonts w:ascii="Calibri" w:cs="Calibri" w:eastAsia="Calibri" w:hAnsi="Calibri"/>
          <w:b w:val="false"/>
          <w:bCs w:val="false"/>
          <w:i w:val="false"/>
          <w:iCs w:val="false"/>
          <w:color w:val="777777"/>
          <w:sz w:val="20"/>
          <w:szCs w:val="20"/>
        </w:rPr>
        <w:t xml:space="preserve">________________________________________</w:t>
      </w:r>
    </w:p>
    <w:p>
      <w:pPr>
        <w:spacing w:after="140"/>
      </w:pPr>
      <w:r>
        <w:rPr>
          <w:rFonts w:ascii="Calibri" w:cs="Calibri" w:eastAsia="Calibri" w:hAnsi="Calibri"/>
          <w:b/>
          <w:bCs/>
          <w:i w:val="false"/>
          <w:iCs w:val="false"/>
          <w:color w:val="1A1A1A"/>
          <w:sz w:val="20"/>
          <w:szCs w:val="20"/>
        </w:rPr>
        <w:t xml:space="preserve">Session date:  </w:t>
      </w:r>
      <w:r>
        <w:rPr>
          <w:rFonts w:ascii="Calibri" w:cs="Calibri" w:eastAsia="Calibri" w:hAnsi="Calibri"/>
          <w:b w:val="false"/>
          <w:bCs w:val="false"/>
          <w:i w:val="false"/>
          <w:iCs w:val="false"/>
          <w:color w:val="777777"/>
          <w:sz w:val="20"/>
          <w:szCs w:val="20"/>
        </w:rPr>
        <w:t xml:space="preserve">________________________________________</w:t>
      </w:r>
    </w:p>
    <w:p>
      <w:pPr>
        <w:pStyle w:val="Heading1"/>
        <w:spacing w:after="160" w:before="240"/>
      </w:pPr>
      <w:r>
        <w:rPr>
          <w:rFonts w:ascii="Calibri" w:cs="Calibri" w:eastAsia="Calibri" w:hAnsi="Calibri"/>
          <w:b/>
          <w:bCs/>
          <w:i w:val="false"/>
          <w:iCs w:val="false"/>
          <w:color w:val="1A4A2A"/>
          <w:sz w:val="30"/>
          <w:szCs w:val="30"/>
        </w:rPr>
        <w:t xml:space="preserve">1. Verdict</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VERDICT</w:t>
            </w:r>
          </w:p>
        </w:tc>
        <w:tc>
          <w:tcPr>
            <w:tcW w:type="dxa" w:w="6300"/>
            <w:tcMar>
              <w:top w:type="dxa" w:w="60"/>
              <w:left w:type="dxa" w:w="100"/>
              <w:bottom w:type="dxa" w:w="60"/>
              <w:right w:type="dxa" w:w="100"/>
            </w:tcMar>
          </w:tcPr>
          <w:p>
            <w:pPr>
              <w:spacing w:after="0" w:before="0"/>
            </w:pPr>
            <w:r>
              <w:rPr>
                <w:rFonts w:ascii="Calibri" w:cs="Calibri" w:eastAsia="Calibri" w:hAnsi="Calibri"/>
                <w:b/>
                <w:bCs/>
                <w:i w:val="false"/>
                <w:iCs w:val="false"/>
                <w:color w:val="1A1A1A"/>
                <w:sz w:val="24"/>
                <w:szCs w:val="24"/>
              </w:rPr>
              <w:t xml:space="preserve">[GROUNDED / CONDITIONALLY GROUNDED / UNGROUNDED]</w:t>
            </w:r>
          </w:p>
        </w:tc>
      </w:tr>
      <w:tr>
        <w:tc>
          <w:tcPr>
            <w:tcW w:type="dxa" w:w="32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Total score / 60</w:t>
            </w:r>
          </w:p>
        </w:tc>
        <w:tc>
          <w:tcPr>
            <w:tcW w:type="dxa" w:w="6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[nn.n]  (working material only — the verdict is the headline)</w:t>
            </w:r>
          </w:p>
        </w:tc>
      </w:tr>
      <w:tr>
        <w:tc>
          <w:tcPr>
            <w:tcW w:type="dxa" w:w="32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Gates</w:t>
            </w:r>
          </w:p>
        </w:tc>
        <w:tc>
          <w:tcPr>
            <w:tcW w:type="dxa" w:w="6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Economics [PASS/FAIL] · Data [PASS/FAIL] · Adoption [PASS/FAIL]</w:t>
            </w:r>
          </w:p>
        </w:tc>
      </w:tr>
      <w:tr>
        <w:tc>
          <w:tcPr>
            <w:tcW w:type="dxa" w:w="32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Critical fault lines</w:t>
            </w:r>
          </w:p>
        </w:tc>
        <w:tc>
          <w:tcPr>
            <w:tcW w:type="dxa" w:w="6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[n]</w:t>
            </w:r>
          </w:p>
        </w:tc>
      </w:tr>
      <w:tr>
        <w:tc>
          <w:tcPr>
            <w:tcW w:type="dxa" w:w="32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Verdict expires</w:t>
            </w:r>
          </w:p>
        </w:tc>
        <w:tc>
          <w:tcPr>
            <w:tcW w:type="dxa" w:w="6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[date — 90 days from session]. A verdict is a snapshot, not a certificate.</w:t>
            </w:r>
          </w:p>
        </w:tc>
      </w:tr>
    </w:tbl>
    <w:p>
      <w:pPr>
        <w:spacing w:after="120" w:before="100"/>
      </w:pPr>
      <w:r>
        <w:rPr>
          <w:rFonts w:ascii="Calibri" w:cs="Calibri" w:eastAsia="Calibri" w:hAnsi="Calibri"/>
          <w:b w:val="false"/>
          <w:bCs w:val="false"/>
          <w:i/>
          <w:iCs/>
          <w:color w:val="444444"/>
          <w:sz w:val="20"/>
          <w:szCs w:val="20"/>
        </w:rPr>
        <w:t xml:space="preserve">If Conditionally Grounded: proceed, with the gaps priced in and the gate debt closed before capital is released. It is not a soft no.</w:t>
      </w:r>
    </w:p>
    <w:p>
      <w:pPr>
        <w:pStyle w:val="Heading1"/>
        <w:spacing w:after="160" w:before="240"/>
      </w:pPr>
      <w:r>
        <w:rPr>
          <w:rFonts w:ascii="Calibri" w:cs="Calibri" w:eastAsia="Calibri" w:hAnsi="Calibri"/>
          <w:b/>
          <w:bCs/>
          <w:i w:val="false"/>
          <w:iCs w:val="false"/>
          <w:color w:val="1A4A2A"/>
          <w:sz w:val="30"/>
          <w:szCs w:val="30"/>
        </w:rPr>
        <w:t xml:space="preserve">2. Investment Statement (as agreed)</w:t>
      </w:r>
    </w:p>
    <w:p>
      <w:pPr>
        <w:spacing w:after="120" w:before="0"/>
      </w:pPr>
      <w:r>
        <w:rPr>
          <w:rFonts w:ascii="Calibri" w:cs="Calibri" w:eastAsia="Calibri" w:hAnsi="Calibri"/>
          <w:b w:val="false"/>
          <w:bCs w:val="false"/>
          <w:i/>
          <w:iCs/>
          <w:color w:val="1A1A1A"/>
          <w:sz w:val="20"/>
          <w:szCs w:val="20"/>
        </w:rPr>
        <w:t xml:space="preserve">“[paste the agreed sentence]”</w:t>
      </w:r>
    </w:p>
    <w:p>
      <w:pPr>
        <w:pStyle w:val="Heading1"/>
        <w:spacing w:after="160" w:before="240"/>
      </w:pPr>
      <w:r>
        <w:rPr>
          <w:rFonts w:ascii="Calibri" w:cs="Calibri" w:eastAsia="Calibri" w:hAnsi="Calibri"/>
          <w:b/>
          <w:bCs/>
          <w:i w:val="false"/>
          <w:iCs w:val="false"/>
          <w:color w:val="1A4A2A"/>
          <w:sz w:val="30"/>
          <w:szCs w:val="30"/>
        </w:rPr>
        <w:t xml:space="preserve">3. Block scores</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700"/>
        <w:gridCol w:w="4400"/>
        <w:gridCol w:w="1400"/>
        <w:gridCol w:w="1500"/>
        <w:gridCol w:w="1500"/>
      </w:tblGrid>
      <w:tr>
        <w:tc>
          <w:tcPr>
            <w:tcW w:type="dxa" w:w="7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Block</w:t>
            </w:r>
          </w:p>
        </w:tc>
        <w:tc>
          <w:tcPr>
            <w:tcW w:type="dxa" w:w="44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Name</w:t>
            </w:r>
          </w:p>
        </w:tc>
        <w:tc>
          <w:tcPr>
            <w:tcW w:type="dxa" w:w="14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Score /6</w:t>
            </w:r>
          </w:p>
        </w:tc>
        <w:tc>
          <w:tcPr>
            <w:tcW w:type="dxa" w:w="15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Gate result</w:t>
            </w:r>
          </w:p>
        </w:tc>
        <w:tc>
          <w:tcPr>
            <w:tcW w:type="dxa" w:w="15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Comment</w:t>
            </w:r>
          </w:p>
        </w:tc>
      </w:tr>
      <w:tr>
        <w:tc>
          <w:tcPr>
            <w:tcW w:type="dxa" w:w="7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1</w:t>
            </w:r>
          </w:p>
        </w:tc>
        <w:tc>
          <w:tcPr>
            <w:tcW w:type="dxa" w:w="4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Problem &amp; opportunity</w:t>
            </w:r>
          </w:p>
        </w:tc>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7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2</w:t>
            </w:r>
          </w:p>
        </w:tc>
        <w:tc>
          <w:tcPr>
            <w:tcW w:type="dxa" w:w="4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Value proposition</w:t>
            </w:r>
          </w:p>
        </w:tc>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7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3</w:t>
            </w:r>
          </w:p>
        </w:tc>
        <w:tc>
          <w:tcPr>
            <w:tcW w:type="dxa" w:w="4400"/>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Value capture &amp; unit economics  — GATE</w:t>
            </w:r>
          </w:p>
        </w:tc>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[PASS/FAIL]</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7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4</w:t>
            </w:r>
          </w:p>
        </w:tc>
        <w:tc>
          <w:tcPr>
            <w:tcW w:type="dxa" w:w="4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Build / buy / orchestrate</w:t>
            </w:r>
          </w:p>
        </w:tc>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7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5</w:t>
            </w:r>
          </w:p>
        </w:tc>
        <w:tc>
          <w:tcPr>
            <w:tcW w:type="dxa" w:w="4400"/>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Data &amp; context  — GATE</w:t>
            </w:r>
          </w:p>
        </w:tc>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[PASS/FAIL]</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7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6</w:t>
            </w:r>
          </w:p>
        </w:tc>
        <w:tc>
          <w:tcPr>
            <w:tcW w:type="dxa" w:w="4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Moat &amp; strategy</w:t>
            </w:r>
          </w:p>
        </w:tc>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7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7</w:t>
            </w:r>
          </w:p>
        </w:tc>
        <w:tc>
          <w:tcPr>
            <w:tcW w:type="dxa" w:w="4400"/>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Adoption &amp; change  — GATE</w:t>
            </w:r>
          </w:p>
        </w:tc>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[PASS/FAIL]</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7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8</w:t>
            </w:r>
          </w:p>
        </w:tc>
        <w:tc>
          <w:tcPr>
            <w:tcW w:type="dxa" w:w="4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Governance &amp; risk</w:t>
            </w:r>
          </w:p>
        </w:tc>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7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9</w:t>
            </w:r>
          </w:p>
        </w:tc>
        <w:tc>
          <w:tcPr>
            <w:tcW w:type="dxa" w:w="4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Evaluation &amp; quality</w:t>
            </w:r>
          </w:p>
        </w:tc>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7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10</w:t>
            </w:r>
          </w:p>
        </w:tc>
        <w:tc>
          <w:tcPr>
            <w:tcW w:type="dxa" w:w="4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Sustainability &amp; ops</w:t>
            </w:r>
          </w:p>
        </w:tc>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w:t>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bl>
    <w:p>
      <w:pPr>
        <w:pStyle w:val="Heading1"/>
        <w:spacing w:after="160" w:before="240"/>
      </w:pPr>
      <w:r>
        <w:rPr>
          <w:rFonts w:ascii="Calibri" w:cs="Calibri" w:eastAsia="Calibri" w:hAnsi="Calibri"/>
          <w:b/>
          <w:bCs/>
          <w:i w:val="false"/>
          <w:iCs w:val="false"/>
          <w:color w:val="1A4A2A"/>
          <w:sz w:val="30"/>
          <w:szCs w:val="30"/>
        </w:rPr>
        <w:t xml:space="preserve">4. Fault lines — what the disagreement says</w:t>
      </w:r>
    </w:p>
    <w:p>
      <w:pPr>
        <w:spacing w:after="120" w:before="0"/>
      </w:pPr>
      <w:r>
        <w:rPr>
          <w:rFonts w:ascii="Calibri" w:cs="Calibri" w:eastAsia="Calibri" w:hAnsi="Calibri"/>
          <w:b w:val="false"/>
          <w:bCs w:val="false"/>
          <w:i w:val="false"/>
          <w:iCs w:val="false"/>
          <w:color w:val="1A1A1A"/>
          <w:sz w:val="20"/>
          <w:szCs w:val="20"/>
        </w:rPr>
        <w:t xml:space="preserve">Reported by role category only, per the facilitator's contract. Two organisations can return the same score and face opposite prospects; the disagreement, not the score, is the signal.</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1400"/>
        <w:gridCol w:w="900"/>
        <w:gridCol w:w="3900"/>
        <w:gridCol w:w="3300"/>
      </w:tblGrid>
      <w:tr>
        <w:tc>
          <w:tcPr>
            <w:tcW w:type="dxa" w:w="14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Severity</w:t>
            </w:r>
          </w:p>
        </w:tc>
        <w:tc>
          <w:tcPr>
            <w:tcW w:type="dxa" w:w="9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Q#</w:t>
            </w:r>
          </w:p>
        </w:tc>
        <w:tc>
          <w:tcPr>
            <w:tcW w:type="dxa" w:w="39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Pattern (role categories)</w:t>
            </w:r>
          </w:p>
        </w:tc>
        <w:tc>
          <w:tcPr>
            <w:tcW w:type="dxa" w:w="33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Resolution in session</w:t>
            </w:r>
          </w:p>
        </w:tc>
      </w:tr>
      <w:tr>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9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39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3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9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39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3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9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39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3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14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t>
            </w:r>
          </w:p>
        </w:tc>
        <w:tc>
          <w:tcPr>
            <w:tcW w:type="dxa" w:w="9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39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3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bl>
    <w:p>
      <w:pPr>
        <w:pStyle w:val="Heading1"/>
        <w:spacing w:after="160" w:before="240"/>
      </w:pPr>
      <w:r>
        <w:rPr>
          <w:rFonts w:ascii="Calibri" w:cs="Calibri" w:eastAsia="Calibri" w:hAnsi="Calibri"/>
          <w:b/>
          <w:bCs/>
          <w:i w:val="false"/>
          <w:iCs w:val="false"/>
          <w:color w:val="1A4A2A"/>
          <w:sz w:val="30"/>
          <w:szCs w:val="30"/>
        </w:rPr>
        <w:t xml:space="preserve">5. Foundation Debt Register (summary)</w:t>
      </w:r>
    </w:p>
    <w:p>
      <w:pPr>
        <w:spacing w:after="120" w:before="0"/>
      </w:pPr>
      <w:r>
        <w:rPr>
          <w:rFonts w:ascii="Calibri" w:cs="Calibri" w:eastAsia="Calibri" w:hAnsi="Calibri"/>
          <w:b w:val="false"/>
          <w:bCs w:val="false"/>
          <w:i/>
          <w:iCs/>
          <w:color w:val="444444"/>
          <w:sz w:val="20"/>
          <w:szCs w:val="20"/>
        </w:rPr>
        <w:t xml:space="preserve">Every No is debt the investment borrows against. Senior (gate) debt is scheduled for closure before capital release. The register total below must be added to the investment case before it goes to the board — a business case that does not carry its foundation debt is mispriced.</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900"/>
        <w:gridCol w:w="4200"/>
        <w:gridCol w:w="1500"/>
        <w:gridCol w:w="1700"/>
        <w:gridCol w:w="1200"/>
      </w:tblGrid>
      <w:tr>
        <w:tc>
          <w:tcPr>
            <w:tcW w:type="dxa" w:w="9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Item</w:t>
            </w:r>
          </w:p>
        </w:tc>
        <w:tc>
          <w:tcPr>
            <w:tcW w:type="dxa" w:w="42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Gap</w:t>
            </w:r>
          </w:p>
        </w:tc>
        <w:tc>
          <w:tcPr>
            <w:tcW w:type="dxa" w:w="15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Cost</w:t>
            </w:r>
          </w:p>
        </w:tc>
        <w:tc>
          <w:tcPr>
            <w:tcW w:type="dxa" w:w="17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Owner</w:t>
            </w:r>
          </w:p>
        </w:tc>
        <w:tc>
          <w:tcPr>
            <w:tcW w:type="dxa" w:w="12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Deadline</w:t>
            </w:r>
          </w:p>
        </w:tc>
      </w:tr>
      <w:tr>
        <w:tc>
          <w:tcPr>
            <w:tcW w:type="dxa" w:w="9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42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17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12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9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42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17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12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9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42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15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17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12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r>
        <w:tc>
          <w:tcPr>
            <w:tcW w:type="dxa" w:w="9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TOTAL</w:t>
            </w:r>
          </w:p>
        </w:tc>
        <w:tc>
          <w:tcPr>
            <w:tcW w:type="dxa" w:w="4200"/>
            <w:shd w:fill="EFEFE8" w:val="clear"/>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of which senior: [amount]</w:t>
            </w:r>
          </w:p>
        </w:tc>
        <w:tc>
          <w:tcPr>
            <w:tcW w:type="dxa" w:w="15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[amount]</w:t>
            </w:r>
          </w:p>
        </w:tc>
        <w:tc>
          <w:tcPr>
            <w:tcW w:type="dxa" w:w="1700"/>
            <w:shd w:fill="EFEFE8" w:val="clear"/>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c>
          <w:tcPr>
            <w:tcW w:type="dxa" w:w="1200"/>
            <w:shd w:fill="EFEFE8" w:val="clear"/>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
            </w:r>
          </w:p>
        </w:tc>
      </w:tr>
    </w:tbl>
    <w:p>
      <w:pPr>
        <w:pStyle w:val="Heading1"/>
        <w:spacing w:after="160" w:before="240"/>
      </w:pPr>
      <w:r>
        <w:rPr>
          <w:rFonts w:ascii="Calibri" w:cs="Calibri" w:eastAsia="Calibri" w:hAnsi="Calibri"/>
          <w:b/>
          <w:bCs/>
          <w:i w:val="false"/>
          <w:iCs w:val="false"/>
          <w:color w:val="1A4A2A"/>
          <w:sz w:val="30"/>
          <w:szCs w:val="30"/>
        </w:rPr>
        <w:t xml:space="preserve">6. Re-grounding path</w:t>
      </w:r>
    </w:p>
    <w:p>
      <w:pPr>
        <w:spacing w:after="120" w:before="0"/>
      </w:pPr>
      <w:r>
        <w:rPr>
          <w:rFonts w:ascii="Calibri" w:cs="Calibri" w:eastAsia="Calibri" w:hAnsi="Calibri"/>
          <w:b w:val="false"/>
          <w:bCs w:val="false"/>
          <w:i w:val="false"/>
          <w:iCs w:val="false"/>
          <w:color w:val="1A1A1A"/>
          <w:sz w:val="20"/>
          <w:szCs w:val="20"/>
        </w:rPr>
        <w:t xml:space="preserve">Re-run if capital has not moved within 90 days, or a gate-block artifact materially changes. Re-grounding costs a fraction of the original effort — the artifacts are already named; it is closer to an audit than a fresh diagnosis. For Conditionally Grounded verdicts it is where each debt owner reports closure. Scheduled: [date].</w:t>
      </w:r>
    </w:p>
    <w:p>
      <w:r>
        <w:br w:type="page"/>
      </w:r>
    </w:p>
    <w:p>
      <w:pPr>
        <w:spacing w:after="60"/>
      </w:pPr>
      <w:r>
        <w:rPr>
          <w:rFonts w:ascii="Calibri" w:cs="Calibri" w:eastAsia="Calibri" w:hAnsi="Calibri"/>
          <w:b/>
          <w:bCs/>
          <w:i w:val="false"/>
          <w:iCs w:val="false"/>
          <w:color w:val="7A2E1D"/>
          <w:sz w:val="18"/>
          <w:szCs w:val="18"/>
        </w:rPr>
        <w:t xml:space="preserve">BOARD ONE-PAGER</w:t>
      </w:r>
    </w:p>
    <w:p>
      <w:pPr>
        <w:spacing w:after="200"/>
      </w:pPr>
      <w:r>
        <w:rPr>
          <w:rFonts w:ascii="Calibri" w:cs="Calibri" w:eastAsia="Calibri" w:hAnsi="Calibri"/>
          <w:b/>
          <w:bCs/>
          <w:i w:val="false"/>
          <w:iCs w:val="false"/>
          <w:color w:val="1A1A1A"/>
          <w:sz w:val="36"/>
          <w:szCs w:val="36"/>
        </w:rPr>
        <w:t xml:space="preserve">Is this investment grounded?</w:t>
      </w:r>
    </w:p>
    <w:tbl>
      <w:tblPr>
        <w:tblW w:type="dxa" w:w="9500"/>
        <w:tblBorders>
          <w:top w:val="single" w:color="auto" w:sz="4"/>
          <w:left w:val="single" w:color="auto" w:sz="4"/>
          <w:bottom w:val="single" w:color="auto" w:sz="4"/>
          <w:right w:val="single" w:color="auto" w:sz="4"/>
          <w:insideH w:val="single" w:color="auto" w:sz="4"/>
          <w:insideV w:val="single" w:color="auto" w:sz="4"/>
        </w:tblBorders>
      </w:tblPr>
      <w:tblGrid>
        <w:gridCol w:w="3200"/>
        <w:gridCol w:w="6300"/>
      </w:tblGrid>
      <w:tr>
        <w:tc>
          <w:tcPr>
            <w:tcW w:type="dxa" w:w="32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Investment</w:t>
            </w:r>
          </w:p>
        </w:tc>
        <w:tc>
          <w:tcPr>
            <w:tcW w:type="dxa" w:w="6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[one-sentence Investment Statement]</w:t>
            </w:r>
          </w:p>
        </w:tc>
      </w:tr>
      <w:tr>
        <w:tc>
          <w:tcPr>
            <w:tcW w:type="dxa" w:w="32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Verdict</w:t>
            </w:r>
          </w:p>
        </w:tc>
        <w:tc>
          <w:tcPr>
            <w:tcW w:type="dxa" w:w="6300"/>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[GROUNDED / CONDITIONALLY GROUNDED / UNGROUNDED] — expires [date]</w:t>
            </w:r>
          </w:p>
        </w:tc>
      </w:tr>
      <w:tr>
        <w:tc>
          <w:tcPr>
            <w:tcW w:type="dxa" w:w="32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What the verdict means</w:t>
            </w:r>
          </w:p>
        </w:tc>
        <w:tc>
          <w:tcPr>
            <w:tcW w:type="dxa" w:w="6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[2–3 sentences: gates, critical fault lines, the decisive finding]</w:t>
            </w:r>
          </w:p>
        </w:tc>
      </w:tr>
      <w:tr>
        <w:tc>
          <w:tcPr>
            <w:tcW w:type="dxa" w:w="32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Foundation debt</w:t>
            </w:r>
          </w:p>
        </w:tc>
        <w:tc>
          <w:tcPr>
            <w:tcW w:type="dxa" w:w="6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[total], of which [amount] senior — to be closed before capital release. Add this to the case.</w:t>
            </w:r>
          </w:p>
        </w:tc>
      </w:tr>
      <w:tr>
        <w:tc>
          <w:tcPr>
            <w:tcW w:type="dxa" w:w="32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Decision requested</w:t>
            </w:r>
          </w:p>
        </w:tc>
        <w:tc>
          <w:tcPr>
            <w:tcW w:type="dxa" w:w="6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[approve / approve with staged capital against debt closure / do not approve]</w:t>
            </w:r>
          </w:p>
        </w:tc>
      </w:tr>
      <w:tr>
        <w:tc>
          <w:tcPr>
            <w:tcW w:type="dxa" w:w="3200"/>
            <w:shd w:fill="EFEFE8" w:val="clear"/>
            <w:tcMar>
              <w:top w:type="dxa" w:w="60"/>
              <w:left w:type="dxa" w:w="100"/>
              <w:bottom w:type="dxa" w:w="60"/>
              <w:right w:type="dxa" w:w="100"/>
            </w:tcMar>
          </w:tcPr>
          <w:p>
            <w:pPr>
              <w:spacing w:after="0" w:before="0"/>
            </w:pPr>
            <w:r>
              <w:rPr>
                <w:rFonts w:ascii="Calibri" w:cs="Calibri" w:eastAsia="Calibri" w:hAnsi="Calibri"/>
                <w:b/>
                <w:bCs/>
                <w:i w:val="false"/>
                <w:iCs w:val="false"/>
                <w:color w:val="1A1A1A"/>
                <w:sz w:val="20"/>
                <w:szCs w:val="20"/>
              </w:rPr>
              <w:t xml:space="preserve">Re-grounding</w:t>
            </w:r>
          </w:p>
        </w:tc>
        <w:tc>
          <w:tcPr>
            <w:tcW w:type="dxa" w:w="6300"/>
            <w:tcMar>
              <w:top w:type="dxa" w:w="60"/>
              <w:left w:type="dxa" w:w="100"/>
              <w:bottom w:type="dxa" w:w="60"/>
              <w:right w:type="dxa" w:w="100"/>
            </w:tcMar>
          </w:tcPr>
          <w:p>
            <w:pPr>
              <w:spacing w:after="0" w:before="0"/>
            </w:pPr>
            <w:r>
              <w:rPr>
                <w:rFonts w:ascii="Calibri" w:cs="Calibri" w:eastAsia="Calibri" w:hAnsi="Calibri"/>
                <w:b w:val="false"/>
                <w:bCs w:val="false"/>
                <w:i w:val="false"/>
                <w:iCs w:val="false"/>
                <w:color w:val="1A1A1A"/>
                <w:sz w:val="20"/>
                <w:szCs w:val="20"/>
              </w:rPr>
              <w:t xml:space="preserve">[date] — grounding expires; readiness decays.</w:t>
            </w:r>
          </w:p>
        </w:tc>
      </w:tr>
    </w:tbl>
    <w:p>
      <w:pPr>
        <w:pBdr>
          <w:top w:val="single" w:color="BBBBBB" w:sz="6"/>
        </w:pBdr>
        <w:spacing w:before="300"/>
      </w:pPr>
      <w:r>
        <w:rPr>
          <w:rFonts w:ascii="Calibri" w:cs="Calibri" w:eastAsia="Calibri" w:hAnsi="Calibri"/>
          <w:b w:val="false"/>
          <w:bCs w:val="false"/>
          <w:i/>
          <w:iCs/>
          <w:color w:val="777777"/>
          <w:sz w:val="15"/>
          <w:szCs w:val="15"/>
        </w:rPr>
        <w:t xml:space="preserve">Grounded Framework · open, citable, versioned like a standard · Template aligned to Concept Note v1.0 (July 2026). Replace all bracketed [placeholders] before issue.</w:t>
      </w:r>
    </w:p>
    <w:sectPr>
      <w:pgSz w:w="11906" w:h="16838" w:orient="portrait"/>
      <w:pgMar w:top="1080" w:right="1240" w:bottom="1080" w:left="12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00"/>
      </w:pPr>
    </w:lvl>
  </w:abstractNum>
  <w:abstractNum w:abstractNumId="3" w15:restartNumberingAfterBreak="0">
    <w:multiLevelType w:val="hybridMultilevel"/>
    <w:lvl w:ilvl="0" w15:tentative="1">
      <w:start w:val="1"/>
      <w:numFmt w:val="decimal"/>
      <w:lvlText w:val="%1."/>
      <w:lvlJc w:val="left"/>
      <w:pPr>
        <w:ind w:left="400" w:hanging="2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1A1A"/>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2026-07-11T08:16:46.359Z</dcterms:created>
  <dcterms:modified xsi:type="dcterms:W3CDTF">2026-07-11T08:16:46.359Z</dcterms:modified>
</cp:coreProperties>
</file>

<file path=docProps/custom.xml><?xml version="1.0" encoding="utf-8"?>
<Properties xmlns="http://schemas.openxmlformats.org/officeDocument/2006/custom-properties" xmlns:vt="http://schemas.openxmlformats.org/officeDocument/2006/docPropsVTypes"/>
</file>