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color w:val="1A4A2A"/>
          <w:sz w:val="18"/>
          <w:szCs w:val="18"/>
        </w:rPr>
        <w:t xml:space="preserve">GROUNDED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777777"/>
          <w:sz w:val="16"/>
          <w:szCs w:val="16"/>
        </w:rPr>
        <w:t xml:space="preserve">   ·   Practice Toolkit · Template v1.0</w:t>
      </w:r>
    </w:p>
    <w:p>
      <w:pPr>
        <w:pBdr>
          <w:bottom w:val="single" w:color="BBBBBB" w:sz="6"/>
        </w:pBdr>
        <w:spacing w:after="160"/>
      </w:pPr>
    </w:p>
    <w:p>
      <w:pPr>
        <w:spacing w:after="60" w:before="8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40"/>
          <w:szCs w:val="40"/>
        </w:rPr>
        <w:t xml:space="preserve">Engagement Letter &amp; Statement of Work</w:t>
      </w:r>
    </w:p>
    <w:p>
      <w:pPr>
        <w:spacing w:after="240"/>
      </w:pPr>
      <w:r>
        <w:rPr>
          <w:rFonts w:ascii="Calibri" w:cs="Calibri" w:eastAsia="Calibri" w:hAnsi="Calibri"/>
          <w:b w:val="false"/>
          <w:bCs w:val="false"/>
          <w:i/>
          <w:iCs/>
          <w:color w:val="444444"/>
          <w:sz w:val="20"/>
          <w:szCs w:val="20"/>
        </w:rPr>
        <w:t xml:space="preserve">Grounded Assessment · [Client] · [Investment name]</w:t>
      </w:r>
    </w:p>
    <w:p>
      <w:pPr>
        <w:spacing w:after="14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Client: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777777"/>
          <w:sz w:val="20"/>
          <w:szCs w:val="20"/>
        </w:rPr>
        <w:t xml:space="preserve">________________________________________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Engagement code: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777777"/>
          <w:sz w:val="20"/>
          <w:szCs w:val="20"/>
        </w:rPr>
        <w:t xml:space="preserve">________________________________________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Date: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777777"/>
          <w:sz w:val="20"/>
          <w:szCs w:val="20"/>
        </w:rPr>
        <w:t xml:space="preserve">________________________________________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Prepared by (facilitator):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777777"/>
          <w:sz w:val="20"/>
          <w:szCs w:val="20"/>
        </w:rPr>
        <w:t xml:space="preserve">________________________________________</w:t>
      </w:r>
    </w:p>
    <w:p>
      <w:pPr>
        <w:pStyle w:val="Heading1"/>
        <w:spacing w:after="160" w:before="240"/>
      </w:pPr>
      <w:r>
        <w:rPr>
          <w:rFonts w:ascii="Calibri" w:cs="Calibri" w:eastAsia="Calibri" w:hAnsi="Calibri"/>
          <w:b/>
          <w:bCs/>
          <w:i w:val="false"/>
          <w:iCs w:val="false"/>
          <w:color w:val="1A4A2A"/>
          <w:sz w:val="30"/>
          <w:szCs w:val="30"/>
        </w:rPr>
        <w:t xml:space="preserve">1. Scope of engagement</w:t>
      </w:r>
    </w:p>
    <w:p>
      <w:p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[Firm name] will facilitate a Grounded Assessment of the following candidate investment: [Investment name], on behalf of [Client]. The assessment applies the open Grounded framework — [Industry-neutral / Manufacturing / other] edition — in full: the Evidence Rule, three gates (unit economics, data, adoption), private per-role intake, fault-line analysis, a three-value verdict, a priced Foundation Debt Register, and a 90-day validity.</w:t>
      </w:r>
    </w:p>
    <w:p>
      <w:pPr>
        <w:spacing w:after="120" w:before="0"/>
      </w:pPr>
      <w:r>
        <w:rPr>
          <w:rFonts w:ascii="Calibri" w:cs="Calibri" w:eastAsia="Calibri" w:hAnsi="Calibri"/>
          <w:b w:val="false"/>
          <w:bCs w:val="false"/>
          <w:i/>
          <w:iCs/>
          <w:color w:val="444444"/>
          <w:sz w:val="20"/>
          <w:szCs w:val="20"/>
        </w:rPr>
        <w:t xml:space="preserve">The assessment does not evaluate the quality of the AI technology, the capability of any vendor, or the merits of the proposed solution. A verdict of Grounded does not guarantee success; it eliminates the most common and most preventable causes of failure.</w:t>
      </w:r>
    </w:p>
    <w:p>
      <w:pPr>
        <w:pStyle w:val="Heading1"/>
        <w:spacing w:after="160" w:before="240"/>
      </w:pPr>
      <w:r>
        <w:rPr>
          <w:rFonts w:ascii="Calibri" w:cs="Calibri" w:eastAsia="Calibri" w:hAnsi="Calibri"/>
          <w:b/>
          <w:bCs/>
          <w:i w:val="false"/>
          <w:iCs w:val="false"/>
          <w:color w:val="1A4A2A"/>
          <w:sz w:val="30"/>
          <w:szCs w:val="30"/>
        </w:rPr>
        <w:t xml:space="preserve">2. Method and timeline (approx. two weeks elapsed)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800"/>
      </w:tblGrid>
      <w:tr>
        <w:tc>
          <w:tcPr>
            <w:tcW w:type="dxa" w:w="1700"/>
            <w:shd w:fill="EFEFE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Stage</w:t>
            </w:r>
          </w:p>
        </w:tc>
        <w:tc>
          <w:tcPr>
            <w:tcW w:type="dxa" w:w="7800"/>
            <w:shd w:fill="EFEFE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Activity</w:t>
            </w:r>
          </w:p>
        </w:tc>
      </w:tr>
      <w:tr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Day 1</w:t>
            </w:r>
          </w:p>
        </w:tc>
        <w:tc>
          <w:tcPr>
            <w:tcW w:type="dxa" w:w="7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Kickoff. Sponsor lands the Investment Statement (one sentence). Roles confirmed (4–6). If the leadership team cannot agree the sentence, that is finding number one.</w:t>
            </w:r>
          </w:p>
        </w:tc>
      </w:tr>
      <w:tr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Days 2–7</w:t>
            </w:r>
          </w:p>
        </w:tc>
        <w:tc>
          <w:tcPr>
            <w:tcW w:type="dxa" w:w="7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Private intake. Each role answers alone — twenty minutes, individually invited, no conferring. Roles answer their own blocks plus all three gate blocks.</w:t>
            </w:r>
          </w:p>
        </w:tc>
      </w:tr>
      <w:tr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Days 8–9</w:t>
            </w:r>
          </w:p>
        </w:tc>
        <w:tc>
          <w:tcPr>
            <w:tcW w:type="dxa" w:w="7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Aggregation. Facilitator produces block scores, gate results, fault-line report, calibration checks and a provisional verdict.</w:t>
            </w:r>
          </w:p>
        </w:tc>
      </w:tr>
      <w:tr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Day 10</w:t>
            </w:r>
          </w:p>
        </w:tc>
        <w:tc>
          <w:tcPr>
            <w:tcW w:type="dxa" w:w="7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The session. Ninety minutes, all roles present. Opens on disagreement; artifacts requested, not opinions; anchor question demonstrated live; each confirmed gap converted to a priced, owned, dated debt item; verdict revealed last.</w:t>
            </w:r>
          </w:p>
        </w:tc>
      </w:tr>
      <w:tr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Day 10+</w:t>
            </w:r>
          </w:p>
        </w:tc>
        <w:tc>
          <w:tcPr>
            <w:tcW w:type="dxa" w:w="7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Reporting. Grounded Assessment Report incl. board one-pager, Foundation Debt Register, expiry date, re-grounding path.</w:t>
            </w:r>
          </w:p>
        </w:tc>
      </w:tr>
    </w:tbl>
    <w:p>
      <w:pPr>
        <w:pStyle w:val="Heading1"/>
        <w:spacing w:after="160" w:before="240"/>
      </w:pPr>
      <w:r>
        <w:rPr>
          <w:rFonts w:ascii="Calibri" w:cs="Calibri" w:eastAsia="Calibri" w:hAnsi="Calibri"/>
          <w:b/>
          <w:bCs/>
          <w:i w:val="false"/>
          <w:iCs w:val="false"/>
          <w:color w:val="1A4A2A"/>
          <w:sz w:val="30"/>
          <w:szCs w:val="30"/>
        </w:rPr>
        <w:t xml:space="preserve">3. Deliverables</w:t>
      </w:r>
    </w:p>
    <w:p>
      <w:pPr>
        <w:pStyle w:val="ListParagraph"/>
        <w:numPr>
          <w:ilvl w:val="0"/>
          <w:numId w:val="2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Agreed Investment Statement (or a documented scoping failure).</w:t>
      </w:r>
    </w:p>
    <w:p>
      <w:pPr>
        <w:pStyle w:val="ListParagraph"/>
        <w:numPr>
          <w:ilvl w:val="0"/>
          <w:numId w:val="2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Completed private intake set (role-level, confidential to the facilitator).</w:t>
      </w:r>
    </w:p>
    <w:p>
      <w:pPr>
        <w:pStyle w:val="ListParagraph"/>
        <w:numPr>
          <w:ilvl w:val="0"/>
          <w:numId w:val="2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Scoring &amp; Aggregation Workbook: block scores, gate results, calibration flags.</w:t>
      </w:r>
    </w:p>
    <w:p>
      <w:pPr>
        <w:pStyle w:val="ListParagraph"/>
        <w:numPr>
          <w:ilvl w:val="0"/>
          <w:numId w:val="2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Fault Line Report — pattern of disagreement by role category, never by name.</w:t>
      </w:r>
    </w:p>
    <w:p>
      <w:pPr>
        <w:pStyle w:val="ListParagraph"/>
        <w:numPr>
          <w:ilvl w:val="0"/>
          <w:numId w:val="2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Verdict: Grounded / Conditionally Grounded / Ungrounded, with expiry date.</w:t>
      </w:r>
    </w:p>
    <w:p>
      <w:pPr>
        <w:pStyle w:val="ListParagraph"/>
        <w:numPr>
          <w:ilvl w:val="0"/>
          <w:numId w:val="2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Foundation Debt Register — every gap priced, owned and dated; senior (gate) debt identified.</w:t>
      </w:r>
    </w:p>
    <w:p>
      <w:pPr>
        <w:pStyle w:val="ListParagraph"/>
        <w:numPr>
          <w:ilvl w:val="0"/>
          <w:numId w:val="2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Grounded Assessment Report and board one-pager.</w:t>
      </w:r>
    </w:p>
    <w:p>
      <w:pPr>
        <w:pStyle w:val="ListParagraph"/>
        <w:numPr>
          <w:ilvl w:val="0"/>
          <w:numId w:val="2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Re-grounding checklist and 90-day tracker.</w:t>
      </w:r>
    </w:p>
    <w:p>
      <w:pPr>
        <w:pStyle w:val="Heading1"/>
        <w:spacing w:after="160" w:before="240"/>
      </w:pPr>
      <w:r>
        <w:rPr>
          <w:rFonts w:ascii="Calibri" w:cs="Calibri" w:eastAsia="Calibri" w:hAnsi="Calibri"/>
          <w:b/>
          <w:bCs/>
          <w:i w:val="false"/>
          <w:iCs w:val="false"/>
          <w:color w:val="1A4A2A"/>
          <w:sz w:val="30"/>
          <w:szCs w:val="30"/>
        </w:rPr>
        <w:t xml:space="preserve">4. The facilitator's contract (non-negotiable)</w:t>
      </w:r>
    </w:p>
    <w:p>
      <w:p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Individual intake answers are confidential to the facilitator. Disagreement is reported only as a pattern by role category, never attributed to a named individual — in the session, in the report, or afterwards. This protection is what makes the intake honest and is a condition of the engagement.</w:t>
      </w:r>
    </w:p>
    <w:p>
      <w:pPr>
        <w:pStyle w:val="Heading1"/>
        <w:spacing w:after="160" w:before="240"/>
      </w:pPr>
      <w:r>
        <w:rPr>
          <w:rFonts w:ascii="Calibri" w:cs="Calibri" w:eastAsia="Calibri" w:hAnsi="Calibri"/>
          <w:b/>
          <w:bCs/>
          <w:i w:val="false"/>
          <w:iCs w:val="false"/>
          <w:color w:val="1A4A2A"/>
          <w:sz w:val="30"/>
          <w:szCs w:val="30"/>
        </w:rPr>
        <w:t xml:space="preserve">5. Client responsibilities</w:t>
      </w:r>
    </w:p>
    <w:p>
      <w:pPr>
        <w:pStyle w:val="ListParagraph"/>
        <w:numPr>
          <w:ilvl w:val="0"/>
          <w:numId w:val="2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Nominate a sponsor empowered to land the Investment Statement.</w:t>
      </w:r>
    </w:p>
    <w:p>
      <w:pPr>
        <w:pStyle w:val="ListParagraph"/>
        <w:numPr>
          <w:ilvl w:val="0"/>
          <w:numId w:val="2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Make 4–6 roles available for a 20-minute private intake and the 90-minute session.</w:t>
      </w:r>
    </w:p>
    <w:p>
      <w:pPr>
        <w:pStyle w:val="ListParagraph"/>
        <w:numPr>
          <w:ilvl w:val="0"/>
          <w:numId w:val="2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Provide screen access for the live anchor-question demonstration.</w:t>
      </w:r>
    </w:p>
    <w:p>
      <w:pPr>
        <w:pStyle w:val="ListParagraph"/>
        <w:numPr>
          <w:ilvl w:val="0"/>
          <w:numId w:val="2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Accept that a 'Yes' without a nameable artifact records as Partially.</w:t>
      </w:r>
    </w:p>
    <w:p>
      <w:pPr>
        <w:pStyle w:val="Heading1"/>
        <w:spacing w:after="160" w:before="240"/>
      </w:pPr>
      <w:r>
        <w:rPr>
          <w:rFonts w:ascii="Calibri" w:cs="Calibri" w:eastAsia="Calibri" w:hAnsi="Calibri"/>
          <w:b/>
          <w:bCs/>
          <w:i w:val="false"/>
          <w:iCs w:val="false"/>
          <w:color w:val="1A4A2A"/>
          <w:sz w:val="30"/>
          <w:szCs w:val="30"/>
        </w:rPr>
        <w:t xml:space="preserve">6. Fees and expenses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2100"/>
        <w:gridCol w:w="2200"/>
      </w:tblGrid>
      <w:tr>
        <w:tc>
          <w:tcPr>
            <w:tcW w:type="dxa" w:w="5200"/>
            <w:shd w:fill="EFEFE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Item</w:t>
            </w:r>
          </w:p>
        </w:tc>
        <w:tc>
          <w:tcPr>
            <w:tcW w:type="dxa" w:w="2100"/>
            <w:shd w:fill="EFEFE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Basis</w:t>
            </w:r>
          </w:p>
        </w:tc>
        <w:tc>
          <w:tcPr>
            <w:tcW w:type="dxa" w:w="2200"/>
            <w:shd w:fill="EFEFE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Fee</w:t>
            </w:r>
          </w:p>
        </w:tc>
      </w:tr>
      <w:tr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Grounded Assessment (fixed scope above)</w:t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Fixed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[amount]</w:t>
            </w:r>
          </w:p>
        </w:tc>
      </w:tr>
      <w:tr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Re-grounding within 12 months</w:t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Fixed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[amount]</w:t>
            </w:r>
          </w:p>
        </w:tc>
      </w:tr>
      <w:tr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Optional: Grounded Scan (upstream candidate shortlisting)</w:t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Fixed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[amount]</w:t>
            </w:r>
          </w:p>
        </w:tc>
      </w:tr>
    </w:tbl>
    <w:p>
      <w:pPr>
        <w:spacing w:after="20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pStyle w:val="Heading1"/>
        <w:spacing w:after="160" w:before="240"/>
      </w:pPr>
      <w:r>
        <w:rPr>
          <w:rFonts w:ascii="Calibri" w:cs="Calibri" w:eastAsia="Calibri" w:hAnsi="Calibri"/>
          <w:b/>
          <w:bCs/>
          <w:i w:val="false"/>
          <w:iCs w:val="false"/>
          <w:color w:val="1A4A2A"/>
          <w:sz w:val="30"/>
          <w:szCs w:val="30"/>
        </w:rPr>
        <w:t xml:space="preserve">7. Acceptance</w:t>
      </w:r>
    </w:p>
    <w:p>
      <w:pPr>
        <w:spacing w:after="14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For the Client — name, title, signature, date: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777777"/>
          <w:sz w:val="20"/>
          <w:szCs w:val="20"/>
        </w:rPr>
        <w:t xml:space="preserve">________________________________________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For [Firm name] — name, title, signature, date: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777777"/>
          <w:sz w:val="20"/>
          <w:szCs w:val="20"/>
        </w:rPr>
        <w:t xml:space="preserve">________________________________________</w:t>
      </w:r>
    </w:p>
    <w:p>
      <w:pPr>
        <w:pBdr>
          <w:top w:val="single" w:color="BBBBBB" w:sz="6"/>
        </w:pBdr>
        <w:spacing w:before="300"/>
      </w:pPr>
      <w:r>
        <w:rPr>
          <w:rFonts w:ascii="Calibri" w:cs="Calibri" w:eastAsia="Calibri" w:hAnsi="Calibri"/>
          <w:b w:val="false"/>
          <w:bCs w:val="false"/>
          <w:i/>
          <w:iCs/>
          <w:color w:val="777777"/>
          <w:sz w:val="15"/>
          <w:szCs w:val="15"/>
        </w:rPr>
        <w:t xml:space="preserve">Grounded Framework · open, citable, versioned like a standard · Template aligned to Concept Note v1.0 (July 2026). Replace all bracketed [placeholders] before issue.</w:t>
      </w:r>
    </w:p>
    <w:sectPr>
      <w:pgSz w:w="11906" w:h="16838" w:orient="portrait"/>
      <w:pgMar w:top="1080" w:right="1240" w:bottom="1080" w:left="12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6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2026-07-11T08:16:45.745Z</dcterms:created>
  <dcterms:modified xsi:type="dcterms:W3CDTF">2026-07-11T08:16:45.773Z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